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Boosting Student Enrollment and Attendance Root-Cause Analysis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improve student enrollment and attendance by identifying underlying barriers and targeting effective solutions, this protocol provides a structured approach to diagnosing challenges through data analysis and root cause reflection. Use this protocol to guide collaborative problem-solving and continuous improvement in your tutoring program.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Root Cause Analysis Protocol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Step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Reflection</w:t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Define the problem or areas of improvement.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Collect data disaggregated by student populations.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Identify possible causal factors.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Identify the root cause.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Recommend and implement the solution.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4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Monitor the solution and confirm if it works.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432" w:hanging="36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firstLine="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3108960</wp:posOffset>
              </wp:positionH>
              <wp:positionV relativeFrom="page">
                <wp:posOffset>676656</wp:posOffset>
              </wp:positionV>
              <wp:extent cx="3749040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3108960</wp:posOffset>
              </wp:positionH>
              <wp:positionV relativeFrom="page">
                <wp:posOffset>676656</wp:posOffset>
              </wp:positionV>
              <wp:extent cx="3749040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904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