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ind w:left="0" w:right="30"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Communication Plan for Stakeholder Engagement </w:t>
      </w:r>
    </w:p>
    <w:p w:rsidR="00000000" w:rsidDel="00000000" w:rsidP="00000000" w:rsidRDefault="00000000" w:rsidRPr="00000000" w14:paraId="00000002">
      <w:pPr>
        <w:spacing w:after="120" w:lineRule="auto"/>
        <w:ind w:left="0" w:right="30"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around a High-Impact Tutoring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left="0" w:right="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Facilitate the development of tailored stakeholder engagement strategies for tutoring programs. This tool helps districts craft key messages, select effective engagement tactics, and plan outreach timing to build buy-in, gather input, and sustain stakeholder support throughout the program lifecycle.</w:t>
      </w:r>
    </w:p>
    <w:p w:rsidR="00000000" w:rsidDel="00000000" w:rsidP="00000000" w:rsidRDefault="00000000" w:rsidRPr="00000000" w14:paraId="00000004">
      <w:pPr>
        <w:spacing w:after="120" w:lineRule="auto"/>
        <w:ind w:left="0" w:right="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Once you have identified and mapped stakeholders specific to your district, use the following guiding questions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craft key messages and strategies for engaging each stakeholder group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432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Communication: Key Messages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2"/>
        </w:numPr>
        <w:spacing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our rationale for starting a tutoring program?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2"/>
        </w:numPr>
        <w:spacing w:after="200"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do we ensure our framing is asset-based?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40" w:lineRule="auto"/>
        <w:ind w:left="432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Tactics: Engagement Strategies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2"/>
        </w:numPr>
        <w:spacing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Which stakeholders below should we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engage first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2"/>
        </w:numPr>
        <w:spacing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do we gather input from all stakeholders to ensure this program meets everyone’s needs?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2"/>
        </w:numPr>
        <w:spacing w:after="200"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will we reinvest this stakeholder group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throughout the year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0C">
      <w:pPr>
        <w:widowControl w:val="0"/>
        <w:spacing w:after="200" w:before="80" w:line="240" w:lineRule="auto"/>
        <w:ind w:right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9282113</wp:posOffset>
                </wp:positionV>
                <wp:extent cx="7867650" cy="781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9282113</wp:posOffset>
                </wp:positionV>
                <wp:extent cx="7867650" cy="7810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4.9999999999998"/>
        <w:gridCol w:w="2650.0000000000005"/>
        <w:gridCol w:w="3075"/>
        <w:gridCol w:w="2550"/>
        <w:tblGridChange w:id="0">
          <w:tblGrid>
            <w:gridCol w:w="1954.9999999999998"/>
            <w:gridCol w:w="2650.0000000000005"/>
            <w:gridCol w:w="3075"/>
            <w:gridCol w:w="2550"/>
          </w:tblGrid>
        </w:tblGridChange>
      </w:tblGrid>
      <w:tr>
        <w:trPr>
          <w:cantSplit w:val="0"/>
          <w:tblHeader w:val="1"/>
        </w:trPr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Stakeholder Group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Communication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Key Messages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Tactics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Engagement Strategies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Timing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When will you reach out?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opportunity to work in a smaller group]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engage parents]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before program starts]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end of program]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Family/ Caregivers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Tutors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School Administrators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Labor Unions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Superintendent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Board of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status + progress of program]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share big picture progress data in understood metrics]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share personal success stories to bring experience to life]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prior to board meetings, especially budget meetings]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Community Partners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Local Government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Family Liaisons/School Counselors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9263063</wp:posOffset>
                </wp:positionV>
                <wp:extent cx="7867650" cy="8953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9263063</wp:posOffset>
                </wp:positionV>
                <wp:extent cx="7867650" cy="8953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see the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High-Impact Tutoring: Family and Caregiver Toolkit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additional information.</w:t>
      </w:r>
    </w:p>
    <w:sectPr>
      <w:headerReference r:id="rId8" w:type="default"/>
      <w:footerReference r:id="rId9" w:type="default"/>
      <w:pgSz w:h="15840" w:w="12240" w:orient="portrait"/>
      <w:pgMar w:bottom="1440" w:top="1440" w:left="1080" w:right="1080" w:header="1440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>
        <w:color w:val="ffffff"/>
      </w:rPr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2926080</wp:posOffset>
              </wp:positionH>
              <wp:positionV relativeFrom="page">
                <wp:posOffset>713232</wp:posOffset>
              </wp:positionV>
              <wp:extent cx="4197096" cy="74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2926080</wp:posOffset>
              </wp:positionH>
              <wp:positionV relativeFrom="page">
                <wp:posOffset>713232</wp:posOffset>
              </wp:positionV>
              <wp:extent cx="4197096" cy="74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7096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2060258" cy="340673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studentsupportaccelerator.org/family-caregiver-toolki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