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Curriculum Alignment for Tutoring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core concept of high-impact tutoring is curricular alignment. Use this template to ensure that the tutoring materials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-9524</wp:posOffset>
                </wp:positionH>
                <wp:positionV relativeFrom="page">
                  <wp:posOffset>7105753</wp:posOffset>
                </wp:positionV>
                <wp:extent cx="10091738" cy="685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-9524</wp:posOffset>
                </wp:positionH>
                <wp:positionV relativeFrom="page">
                  <wp:posOffset>7105753</wp:posOffset>
                </wp:positionV>
                <wp:extent cx="10091738" cy="6858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1738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being utilized are in alignment with the Tier I instruction occurring in the classroom. An example is provided in the first box below.</w:t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4335"/>
        <w:gridCol w:w="3240"/>
        <w:gridCol w:w="3240"/>
        <w:tblGridChange w:id="0">
          <w:tblGrid>
            <w:gridCol w:w="2145"/>
            <w:gridCol w:w="4335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b1d3e1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Approximate Time Period</w:t>
            </w:r>
          </w:p>
        </w:tc>
        <w:tc>
          <w:tcPr>
            <w:shd w:fill="b1d3e1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Core Standard</w:t>
            </w:r>
          </w:p>
        </w:tc>
        <w:tc>
          <w:tcPr>
            <w:shd w:fill="b1d3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Classroom Material</w:t>
            </w:r>
          </w:p>
        </w:tc>
        <w:tc>
          <w:tcPr>
            <w:shd w:fill="b1d3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Tutoring Material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202020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02020"/>
                <w:sz w:val="25"/>
                <w:szCs w:val="25"/>
                <w:rtl w:val="0"/>
              </w:rPr>
              <w:t xml:space="preserve">April 1-10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sz w:val="25"/>
                <w:szCs w:val="25"/>
                <w:rtl w:val="0"/>
              </w:rPr>
              <w:t xml:space="preserve">Explain the function of nouns, pronouns, verbs, adjectives, and adverbs in general and their functions in particular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Unit 2 of Classroom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Section 4.2, Section 3.1, Section 5.2 of Tutoring Program Curriculum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Include a link to vetted materials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Utilize Unit 2 of Classroom Text pg. 24, 26, 28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40" w:top="1440" w:left="1440" w:right="1440" w:header="1152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ind w:firstLine="0"/>
      <w:rPr/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3108960</wp:posOffset>
              </wp:positionH>
              <wp:positionV relativeFrom="page">
                <wp:posOffset>694944</wp:posOffset>
              </wp:positionV>
              <wp:extent cx="6126480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3108960</wp:posOffset>
              </wp:positionH>
              <wp:positionV relativeFrom="page">
                <wp:posOffset>694944</wp:posOffset>
              </wp:positionV>
              <wp:extent cx="6126480" cy="74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648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