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Data-Driven Goals for HQIM Implementation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Purpose: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template helps districts manage the implementation of high-quality instructional materials for tutoring by defining goals and outlining how the success of those goals will be monitored and assessed. An example is provided on page 2.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</w:rPr>
      </w:pPr>
      <w:bookmarkStart w:colFirst="0" w:colLast="0" w:name="_337k5rmj3kp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Goals for Instructional Materials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Clearly define objectives for implementing instructional materials, focusing on: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432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Tutor and Student Investment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Measure tutor confidence and student investment in using the materials.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432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Tutor Practice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Assess the application of instructional strategies by tutors.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432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Student Outcomes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Track student performance through material-specific assessments.</w:t>
      </w:r>
    </w:p>
    <w:p w:rsidR="00000000" w:rsidDel="00000000" w:rsidP="00000000" w:rsidRDefault="00000000" w:rsidRPr="00000000" w14:paraId="00000008">
      <w:pPr>
        <w:spacing w:after="20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 guidance on setting these goals, refer to the</w:t>
      </w:r>
      <w:hyperlink r:id="rId6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Expedited Process for Selecting and Implementing Strong Early Literacy Instructional Materials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tbl>
      <w:tblPr>
        <w:tblStyle w:val="Table1"/>
        <w:tblW w:w="102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2085"/>
        <w:gridCol w:w="1860"/>
        <w:gridCol w:w="1980"/>
        <w:gridCol w:w="2700"/>
        <w:tblGridChange w:id="0">
          <w:tblGrid>
            <w:gridCol w:w="1635"/>
            <w:gridCol w:w="2085"/>
            <w:gridCol w:w="1860"/>
            <w:gridCol w:w="1980"/>
            <w:gridCol w:w="27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Goal Setting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Goal Area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Goal(s)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Measures and Frequency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Data Collection and Analysis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Review and Adjustment Timeline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Tutor &amp; Student Investment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Tutor Practice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Student Outcomes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867650" cy="68294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396850" y="673675"/>
                          <a:ext cx="8638800" cy="911400"/>
                        </a:xfrm>
                        <a:prstGeom prst="rect">
                          <a:avLst/>
                        </a:prstGeom>
                        <a:solidFill>
                          <a:srgbClr val="0368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867650" cy="682943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0" cy="6829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1800"/>
        <w:gridCol w:w="2160"/>
        <w:gridCol w:w="2160"/>
        <w:gridCol w:w="2505"/>
        <w:tblGridChange w:id="0">
          <w:tblGrid>
            <w:gridCol w:w="1620"/>
            <w:gridCol w:w="1800"/>
            <w:gridCol w:w="2160"/>
            <w:gridCol w:w="2160"/>
            <w:gridCol w:w="25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Example Goal Setting Framework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Goal Area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Goal(s)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Measures and Frequency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Data Collection &amp; Analysis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Review and Adjustment Timeline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Tutor &amp; Student Investment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Increase tutor and confidence in using high-quality instructional materials.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Conduct monthly tutor and student surveys on material effectiveness and engagement.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Analyze survey data alongside tutor feedback sessions to identify trends.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Quarterly review with program leadership and adjustments based on feedback.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Tutor Practice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Ensure tutors implement instructional strategies aligned with program goals.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Conduct bi-weekly instructional walkthroughs and coaching observations.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Use structured observation tools to track tutor adherence to instructional routines.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Review trends in tutor practice every 6-8 weeks and adjust training as needed.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Student Outcomes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Improve student mastery of key content covered in tutoring sessions.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Use formative assessments every 2-3 weeks to measure student progress.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Compare student performance data against tutoring session content and instructional adjustments.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Monthly data review meetings to refine instructional focus and pacing.</w:t>
            </w:r>
          </w:p>
        </w:tc>
      </w:tr>
    </w:tbl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f3uu95kyciou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867650" cy="682943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396850" y="673675"/>
                          <a:ext cx="8638800" cy="911400"/>
                        </a:xfrm>
                        <a:prstGeom prst="rect">
                          <a:avLst/>
                        </a:prstGeom>
                        <a:solidFill>
                          <a:srgbClr val="0368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867650" cy="682943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0" cy="6829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008" w:top="1008" w:left="1008" w:right="1008" w:header="1440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ind w:hanging="540"/>
      <w:rPr/>
    </w:pPr>
    <w:r w:rsidDel="00000000" w:rsidR="00000000" w:rsidRPr="00000000">
      <w:rPr>
        <w:rFonts w:ascii="Calibri" w:cs="Calibri" w:eastAsia="Calibri" w:hAnsi="Calibri"/>
        <w:color w:val="ffffff"/>
        <w:rtl w:val="0"/>
      </w:rPr>
      <w:t xml:space="preserve">District Playbook for High-Impact Tutoring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/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2849880</wp:posOffset>
              </wp:positionH>
              <wp:positionV relativeFrom="page">
                <wp:posOffset>685800</wp:posOffset>
              </wp:positionV>
              <wp:extent cx="4297680" cy="746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746325" y="719150"/>
                        <a:ext cx="9085500" cy="37200"/>
                      </a:xfrm>
                      <a:prstGeom prst="rect">
                        <a:avLst/>
                      </a:prstGeom>
                      <a:solidFill>
                        <a:srgbClr val="AFD1D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2849880</wp:posOffset>
              </wp:positionH>
              <wp:positionV relativeFrom="page">
                <wp:posOffset>685800</wp:posOffset>
              </wp:positionV>
              <wp:extent cx="4297680" cy="746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97680" cy="746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640080</wp:posOffset>
          </wp:positionH>
          <wp:positionV relativeFrom="page">
            <wp:posOffset>457200</wp:posOffset>
          </wp:positionV>
          <wp:extent cx="2060258" cy="340673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0258" cy="3406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studentsupportaccelerator.org/guidance-for-early-literacy/expedited" TargetMode="External"/><Relationship Id="rId7" Type="http://schemas.openxmlformats.org/officeDocument/2006/relationships/hyperlink" Target="https://studentsupportaccelerator.org/guidance-for-early-literacy/expedited" TargetMode="Externa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