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spacing w:after="200" w:before="0" w:line="240" w:lineRule="auto"/>
        <w:ind w:left="-720" w:right="-720" w:firstLine="0"/>
        <w:jc w:val="center"/>
        <w:rPr>
          <w:rFonts w:ascii="Calibri" w:cs="Calibri" w:eastAsia="Calibri" w:hAnsi="Calibri"/>
          <w:sz w:val="34"/>
          <w:szCs w:val="34"/>
        </w:rPr>
      </w:pPr>
      <w:bookmarkStart w:colFirst="0" w:colLast="0" w:name="_v61in4d5na61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Tutoring Program Goal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Setting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This tool provides an opportunity to reflect on goals in three main areas: academic, implementation, and stakeholder experience. Use the guiding questions and record draft goals aligned to the district context. Then move on to Step 2 for drafting more specific academic growth goals.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720" w:firstLine="0"/>
        <w:rPr>
          <w:rFonts w:ascii="Public Sans" w:cs="Public Sans" w:eastAsia="Public Sans" w:hAnsi="Public San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9412652</wp:posOffset>
                </wp:positionV>
                <wp:extent cx="7862888" cy="685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9412652</wp:posOffset>
                </wp:positionV>
                <wp:extent cx="7862888" cy="6858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2888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Setting Academic Growth Goals Tool, Step 1: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 Reflection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4500"/>
        <w:gridCol w:w="3780"/>
        <w:tblGridChange w:id="0">
          <w:tblGrid>
            <w:gridCol w:w="2520"/>
            <w:gridCol w:w="4500"/>
            <w:gridCol w:w="37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3"/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 1: Goal Reflection 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Guiding Questions: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District Notes</w:t>
            </w:r>
          </w:p>
        </w:tc>
      </w:tr>
      <w:tr>
        <w:trPr>
          <w:cantSplit w:val="0"/>
          <w:trHeight w:val="3604.335937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Academic Growth Goals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after="0" w:line="276" w:lineRule="auto"/>
              <w:ind w:left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do you currently measure academic impact? What metrics matter most in your district?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after="0" w:line="276" w:lineRule="auto"/>
              <w:ind w:left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are the critical benchmarks students need to hit (in their grades, standardized test scores, etc.) to be considered college-ready and likely to succeed later in life?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after="0" w:line="276" w:lineRule="auto"/>
              <w:ind w:left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will you monitor progress throughout the program between critical benchmarks in order to course correct as needed?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after="0" w:line="276" w:lineRule="auto"/>
              <w:ind w:left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systems are available in your district to measure students’ academic growth over time, not just absolute achievement on a test?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Note: see </w:t>
            </w:r>
            <w:hyperlink w:anchor="kix.it2354jap43w">
              <w:r w:rsidDel="00000000" w:rsidR="00000000" w:rsidRPr="00000000">
                <w:rPr>
                  <w:rFonts w:ascii="Calibri" w:cs="Calibri" w:eastAsia="Calibri" w:hAnsi="Calibri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Step 2 </w:t>
              </w:r>
            </w:hyperlink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below for more specific guidance on setting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academic growth goals.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Implementation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 Attendance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before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will your program ensure high student attendance rates by addressing potential barriers such as transportation, timing, and engagement strategies?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240" w:before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incentives or communication strategies will you use to emphasize the importance of consistent attendance to students and families?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Tutor/Student Match Rate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afterAutospacing="0" w:before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systems will you implement to match students with consistent tutors who align with their needs, learning styles, and cultural backgrounds?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240" w:before="0" w:beforeAutospacing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will you track and evaluate the success of these matches over time to ensure they foster strong tutor-student relationships and improve outcomes?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Quality of Tutoring and HQIM Alignment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afterAutospacing="0" w:before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will your program use data and teacher input to align tutoring sessions with HQIM and classroom curriculum?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240" w:before="0" w:beforeAutospacing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structures will you establish for monitoring tutor training and support to ensure instructional quality and alignment to HQIM?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Logistical Barriers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240" w:before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steps will you take to monitor tutoring session accessibility and convenience, addressing barriers related to location, technology access, and scheduling?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Tracking and Continuous Improvement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240" w:before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processes will you implement to collect and analyze attendance, progress, and outcome data to refine the program design continually?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Scalability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before="0" w:line="276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mechanisms will you establish to scale the program while maintaining its quality and effectiveness as demand grows?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1.28906249999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Stakeholder Experience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there specific social-emotional learning outcomes that you hope to affect? Which ones do you already measure?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Which stakeholders are critical for ensuring smooth implementation of the program in your district?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are the most important and tangible outcomes for these stakeholders?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will you measure relationship experiences between tutors and students?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what ways will you Involve families in the tutoring process to reinforce learning and maintain consistent communication about progress?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will you ensure tutors are working  closely with schools and teachers to align tutoring content with classroom instruction?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Public Sans" w:cs="Public Sans" w:eastAsia="Public Sans" w:hAnsi="Public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40" w:lineRule="auto"/>
        <w:ind w:left="-72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40" w:lineRule="auto"/>
        <w:ind w:left="-720" w:right="-720" w:firstLine="0"/>
        <w:rPr>
          <w:rFonts w:ascii="Public Sans" w:cs="Public Sans" w:eastAsia="Public Sans" w:hAnsi="Public San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Using the table below,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construct an Academic Growth “Goal Statement”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that captures the intended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student achievement impact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your high-impact tutoring program. Consider your</w:t>
      </w:r>
      <w:r w:rsidDel="00000000" w:rsidR="00000000" w:rsidRPr="00000000">
        <w:rPr>
          <w:rFonts w:ascii="Calibri" w:cs="Calibri" w:eastAsia="Calibri" w:hAnsi="Calibri"/>
          <w:color w:val="25305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Academic Growth Goal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reflections from Step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40" w:lineRule="auto"/>
        <w:ind w:left="-720" w:right="-720" w:firstLine="0"/>
        <w:rPr>
          <w:rFonts w:ascii="Calibri" w:cs="Calibri" w:eastAsia="Calibri" w:hAnsi="Calibri"/>
          <w:strike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Note: This exercise facilitates the first foundational steps of goal setting and performance measurement. Draft thinking is encouraged, and this Goal Statement will ideally iterate as your program develops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bookmarkStart w:colFirst="0" w:colLast="0" w:name="kix.it2354jap43w" w:id="1"/>
    <w:bookmarkEnd w:id="1"/>
    <w:p w:rsidR="00000000" w:rsidDel="00000000" w:rsidP="00000000" w:rsidRDefault="00000000" w:rsidRPr="00000000" w14:paraId="0000002D">
      <w:pPr>
        <w:spacing w:line="240" w:lineRule="auto"/>
        <w:ind w:left="-72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Setting Academic Growth Goals Tool, Step 2: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Building Your Goal Statement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15"/>
        <w:gridCol w:w="3585"/>
        <w:tblGridChange w:id="0">
          <w:tblGrid>
            <w:gridCol w:w="3600"/>
            <w:gridCol w:w="3615"/>
            <w:gridCol w:w="3585"/>
          </w:tblGrid>
        </w:tblGridChange>
      </w:tblGrid>
      <w:tr>
        <w:trPr>
          <w:cantSplit w:val="0"/>
          <w:trHeight w:val="307.96875" w:hRule="atLeast"/>
          <w:tblHeader w:val="0"/>
        </w:trPr>
        <w:tc>
          <w:tcPr>
            <w:gridSpan w:val="3"/>
            <w:shd w:fill="83aec5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Public Sans" w:cs="Public Sans" w:eastAsia="Public Sans" w:hAnsi="Public Sans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 2: Building Your Academic Goal Statements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Academic Growth Goal Components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Template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Academic Growth Goal Components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Example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Academic Growth Goal Components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Your HIT Program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0"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Who is your target student population? What grade level(s) and subject area(s)?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For Academic Growth goals, Population here can be thought of as your “Focus Area” (grade level + content area)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Eighth grade students scoring less than proficient in reading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[Your HIT target population / Focus Area]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Which schools will your HIT program be implemented in?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Our three lowest-performing middle schools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 Your target school(s)]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CONDITION OF WELL-BEING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0"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is the key short-term academic outcome your HIT program will support its students to achieve? Over what timeframe?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Consider your ‘Aligning with District Priorities Tool’ reflections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increase tutored students’ state reading assessment scores by 20% over SY24-25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[Your HIT program’s key short-term academic outcome]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RESULT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is the key longer term academic impact or benefit students will gain from participating in your HIT program?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increase high school graduation rates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[Your HIT program’s key long-term academic impact]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ind w:hanging="540"/>
      <w:rPr/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-1009649</wp:posOffset>
              </wp:positionH>
              <wp:positionV relativeFrom="paragraph">
                <wp:posOffset>-133349</wp:posOffset>
              </wp:positionV>
              <wp:extent cx="7862888" cy="685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396850" y="673675"/>
                        <a:ext cx="8638800" cy="911400"/>
                      </a:xfrm>
                      <a:prstGeom prst="rect">
                        <a:avLst/>
                      </a:prstGeom>
                      <a:solidFill>
                        <a:srgbClr val="03689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-1009649</wp:posOffset>
              </wp:positionH>
              <wp:positionV relativeFrom="paragraph">
                <wp:posOffset>-133349</wp:posOffset>
              </wp:positionV>
              <wp:extent cx="7862888" cy="685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62888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3172968</wp:posOffset>
              </wp:positionH>
              <wp:positionV relativeFrom="page">
                <wp:posOffset>530352</wp:posOffset>
              </wp:positionV>
              <wp:extent cx="4114800" cy="72009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3172968</wp:posOffset>
              </wp:positionH>
              <wp:positionV relativeFrom="page">
                <wp:posOffset>530352</wp:posOffset>
              </wp:positionV>
              <wp:extent cx="4114800" cy="72009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4800" cy="7200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576072</wp:posOffset>
          </wp:positionH>
          <wp:positionV relativeFrom="page">
            <wp:posOffset>256032</wp:posOffset>
          </wp:positionV>
          <wp:extent cx="2415838" cy="397669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5838" cy="3976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